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2009" w:y="149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СОГЛАСОВАННО:</w:t>
      </w:r>
      <w:bookmarkEnd w:id="0"/>
    </w:p>
    <w:p>
      <w:pPr>
        <w:pStyle w:val="Style3"/>
        <w:framePr w:w="2702" w:h="1007" w:hRule="exact" w:wrap="none" w:vAnchor="page" w:hAnchor="page" w:x="7779" w:y="1489"/>
        <w:widowControl w:val="0"/>
        <w:keepNext w:val="0"/>
        <w:keepLines w:val="0"/>
        <w:shd w:val="clear" w:color="auto" w:fill="auto"/>
        <w:bidi w:val="0"/>
        <w:jc w:val="right"/>
        <w:spacing w:before="0" w:after="0" w:line="317" w:lineRule="exact"/>
        <w:ind w:left="0" w:right="20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УТВЕРЖДАЮ:</w:t>
      </w:r>
      <w:bookmarkEnd w:id="1"/>
    </w:p>
    <w:p>
      <w:pPr>
        <w:pStyle w:val="Style5"/>
        <w:framePr w:w="2702" w:h="1007" w:hRule="exact" w:wrap="none" w:vAnchor="page" w:hAnchor="page" w:x="7779" w:y="148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Глава Усть-Таркского района</w:t>
      </w:r>
    </w:p>
    <w:p>
      <w:pPr>
        <w:pStyle w:val="Style7"/>
        <w:framePr w:w="2832" w:h="705" w:hRule="exact" w:wrap="none" w:vAnchor="page" w:hAnchor="page" w:x="1865" w:y="177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Директор МБУК «Культурно-досуговый</w:t>
      </w:r>
    </w:p>
    <w:p>
      <w:pPr>
        <w:framePr w:wrap="none" w:vAnchor="page" w:hAnchor="page" w:x="1664" w:y="2515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17pt;height:109pt;">
            <v:imagedata r:id="rId5" r:href="rId6"/>
          </v:shape>
        </w:pict>
      </w:r>
    </w:p>
    <w:p>
      <w:pPr>
        <w:pStyle w:val="Style5"/>
        <w:framePr w:wrap="none" w:vAnchor="page" w:hAnchor="page" w:x="3310" w:y="245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гТаркского района»</w:t>
      </w:r>
    </w:p>
    <w:p>
      <w:pPr>
        <w:pStyle w:val="Style7"/>
        <w:framePr w:wrap="none" w:vAnchor="page" w:hAnchor="page" w:x="3920" w:y="309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.В.</w:t>
      </w:r>
    </w:p>
    <w:p>
      <w:pPr>
        <w:pStyle w:val="Style9"/>
        <w:framePr w:w="4670" w:h="700" w:hRule="exact" w:wrap="none" w:vAnchor="page" w:hAnchor="page" w:x="4208" w:y="434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платных услугах, предоставляемых МБУК «КДЦ Усть-Таркского района»</w:t>
      </w:r>
    </w:p>
    <w:p>
      <w:pPr>
        <w:pStyle w:val="Style3"/>
        <w:framePr w:wrap="none" w:vAnchor="page" w:hAnchor="page" w:x="5552" w:y="405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ПОЛОЖЕНИЕ</w:t>
      </w:r>
      <w:bookmarkEnd w:id="2"/>
    </w:p>
    <w:p>
      <w:pPr>
        <w:framePr w:wrap="none" w:vAnchor="page" w:hAnchor="page" w:x="8225" w:y="2735"/>
        <w:widowControl w:val="0"/>
        <w:rPr>
          <w:sz w:val="2"/>
          <w:szCs w:val="2"/>
        </w:rPr>
      </w:pPr>
      <w:r>
        <w:pict>
          <v:shape id="_x0000_s1027" type="#_x0000_t75" style="width:106pt;height:67pt;">
            <v:imagedata r:id="rId7" r:href="rId8"/>
          </v:shape>
        </w:pict>
      </w:r>
    </w:p>
    <w:p>
      <w:pPr>
        <w:pStyle w:val="Style5"/>
        <w:numPr>
          <w:ilvl w:val="0"/>
          <w:numId w:val="1"/>
        </w:numPr>
        <w:framePr w:w="9422" w:h="8681" w:hRule="exact" w:wrap="none" w:vAnchor="page" w:hAnchor="page" w:x="1822" w:y="5334"/>
        <w:tabs>
          <w:tab w:leader="none" w:pos="326" w:val="left"/>
        </w:tabs>
        <w:widowControl w:val="0"/>
        <w:keepNext w:val="0"/>
        <w:keepLines w:val="0"/>
        <w:shd w:val="clear" w:color="auto" w:fill="auto"/>
        <w:bidi w:val="0"/>
        <w:spacing w:before="0" w:after="317" w:line="280" w:lineRule="exact"/>
        <w:ind w:left="3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Общее положение</w:t>
      </w:r>
    </w:p>
    <w:p>
      <w:pPr>
        <w:pStyle w:val="Style5"/>
        <w:numPr>
          <w:ilvl w:val="0"/>
          <w:numId w:val="3"/>
        </w:numPr>
        <w:framePr w:w="9422" w:h="8681" w:hRule="exact" w:wrap="none" w:vAnchor="page" w:hAnchor="page" w:x="1822" w:y="5334"/>
        <w:tabs>
          <w:tab w:leader="none" w:pos="326" w:val="left"/>
        </w:tabs>
        <w:widowControl w:val="0"/>
        <w:keepNext w:val="0"/>
        <w:keepLines w:val="0"/>
        <w:shd w:val="clear" w:color="auto" w:fill="auto"/>
        <w:bidi w:val="0"/>
        <w:spacing w:before="0" w:after="300"/>
        <w:ind w:left="3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Настоящее положение разработано на основании «Примерного перечня услуг, предоставляемых населению учреждениями культуры», административного регламента муниципальных услуг.</w:t>
      </w:r>
    </w:p>
    <w:p>
      <w:pPr>
        <w:pStyle w:val="Style5"/>
        <w:numPr>
          <w:ilvl w:val="0"/>
          <w:numId w:val="3"/>
        </w:numPr>
        <w:framePr w:w="9422" w:h="8681" w:hRule="exact" w:wrap="none" w:vAnchor="page" w:hAnchor="page" w:x="1822" w:y="5334"/>
        <w:tabs>
          <w:tab w:leader="none" w:pos="326" w:val="left"/>
        </w:tabs>
        <w:widowControl w:val="0"/>
        <w:keepNext w:val="0"/>
        <w:keepLines w:val="0"/>
        <w:shd w:val="clear" w:color="auto" w:fill="auto"/>
        <w:bidi w:val="0"/>
        <w:spacing w:before="0" w:after="296"/>
        <w:ind w:left="3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Размеры платы за услуги определяются прейскурантами и исходя из принципа самоокупаемости затрат, раздельно по каждому виду услуг и подлежат индексации в соответствии с ростом цен.</w:t>
      </w:r>
    </w:p>
    <w:p>
      <w:pPr>
        <w:pStyle w:val="Style5"/>
        <w:numPr>
          <w:ilvl w:val="0"/>
          <w:numId w:val="3"/>
        </w:numPr>
        <w:framePr w:w="9422" w:h="8681" w:hRule="exact" w:wrap="none" w:vAnchor="page" w:hAnchor="page" w:x="1822" w:y="5334"/>
        <w:tabs>
          <w:tab w:leader="none" w:pos="326" w:val="left"/>
        </w:tabs>
        <w:widowControl w:val="0"/>
        <w:keepNext w:val="0"/>
        <w:keepLines w:val="0"/>
        <w:shd w:val="clear" w:color="auto" w:fill="auto"/>
        <w:bidi w:val="0"/>
        <w:spacing w:before="0" w:after="300" w:line="322" w:lineRule="exact"/>
        <w:ind w:left="3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целях ликвидации убыточности отдельных услуг и при изменении объективности условий, способствующих повышению качества оказываемых услуг, ранее установленные цены на эти услуги могут быть пересмотрены и утверждены в установленном порядке.</w:t>
      </w:r>
    </w:p>
    <w:p>
      <w:pPr>
        <w:pStyle w:val="Style5"/>
        <w:numPr>
          <w:ilvl w:val="0"/>
          <w:numId w:val="3"/>
        </w:numPr>
        <w:framePr w:w="9422" w:h="8681" w:hRule="exact" w:wrap="none" w:vAnchor="page" w:hAnchor="page" w:x="1822" w:y="5334"/>
        <w:tabs>
          <w:tab w:leader="none" w:pos="326" w:val="left"/>
        </w:tabs>
        <w:widowControl w:val="0"/>
        <w:keepNext w:val="0"/>
        <w:keepLines w:val="0"/>
        <w:shd w:val="clear" w:color="auto" w:fill="auto"/>
        <w:bidi w:val="0"/>
        <w:spacing w:before="0" w:after="304" w:line="322" w:lineRule="exact"/>
        <w:ind w:left="3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Ответственность за оказание платных услуг возлагается на зав.структурными подразделениями. Контроль на администрацию МБУК «КДЦ Усть-Таркского района» и бухгалтерию МБУК «Культурно</w:t>
        <w:t>досуговый центр Усть-Таркского района».</w:t>
      </w:r>
    </w:p>
    <w:p>
      <w:pPr>
        <w:pStyle w:val="Style5"/>
        <w:numPr>
          <w:ilvl w:val="0"/>
          <w:numId w:val="3"/>
        </w:numPr>
        <w:framePr w:w="9422" w:h="8681" w:hRule="exact" w:wrap="none" w:vAnchor="page" w:hAnchor="page" w:x="1822" w:y="5334"/>
        <w:tabs>
          <w:tab w:leader="none" w:pos="32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Все денежные операции определяются по документам, согласованным с бухгалтерией и финансовыми органами. Расходование средств, получаемых от оказания платных услуг ведется с учетом поступлений на приобретение: канц.товаров,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DVD-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дисков, ремонт костюмов, покупку звукозаписей, приобретение световой аппаратуры, идет на развитие и совершенствование материальной базы МБУК «КДЦ Усть-Таркского района».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8">
    <w:name w:val="Подпись к картинке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0">
    <w:name w:val="Основной текст (3)_"/>
    <w:basedOn w:val="DefaultParagraphFont"/>
    <w:link w:val="Style9"/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both"/>
      <w:spacing w:line="317" w:lineRule="exact"/>
      <w:ind w:hanging="380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7">
    <w:name w:val="Подпись к картинке"/>
    <w:basedOn w:val="Normal"/>
    <w:link w:val="CharStyle8"/>
    <w:pPr>
      <w:widowControl w:val="0"/>
      <w:shd w:val="clear" w:color="auto" w:fill="FFFFFF"/>
      <w:spacing w:line="322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9">
    <w:name w:val="Основной текст (3)"/>
    <w:basedOn w:val="Normal"/>
    <w:link w:val="CharStyle10"/>
    <w:pPr>
      <w:widowControl w:val="0"/>
      <w:shd w:val="clear" w:color="auto" w:fill="FFFFFF"/>
      <w:jc w:val="both"/>
      <w:spacing w:line="322" w:lineRule="exact"/>
    </w:pPr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